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630e35db02ad889777f4f0ae13b43d88dd66f"/>
    <w:p>
      <w:pPr>
        <w:pStyle w:val="Heading3"/>
      </w:pPr>
      <w:r>
        <w:t xml:space="preserve">Департамент культурного наследия города Москвы приглашает юных жителей столицы принять участие в конкурсе детского рисунка «Наследие моего района»</w:t>
      </w:r>
    </w:p>
    <w:p>
      <w:pPr>
        <w:pStyle w:val="FirstParagraph"/>
      </w:pPr>
      <w:r>
        <w:t xml:space="preserve">24.02.2022</w:t>
      </w:r>
    </w:p>
    <w:p>
      <w:pPr>
        <w:pStyle w:val="BodyText"/>
      </w:pPr>
      <w:r>
        <w:drawing>
          <wp:inline>
            <wp:extent cx="5334000" cy="75935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конкур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3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http://vostochniy.mos.ru/presscenter/event-announcements/detail/10642568.html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presscenter/event-announcements/detail/10642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presscenter/event-announcements/detail/10642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2025-02-04T15:30:38Z</dcterms:created>
  <dcterms:modified xsi:type="dcterms:W3CDTF">2025-02-04T15:30:38Z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