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c7419b1c8a449667a0711ca0166b221e5e4668"/>
    <w:p>
      <w:pPr>
        <w:pStyle w:val="Heading3"/>
      </w:pPr>
      <w:r>
        <w:t xml:space="preserve">Информация об эпизоотической ситуации по гриппу птиц на территории Российской Федерации</w:t>
      </w:r>
    </w:p>
    <w:p>
      <w:pPr>
        <w:pStyle w:val="FirstParagraph"/>
      </w:pPr>
      <w:r>
        <w:t xml:space="preserve">05.10.2022</w:t>
      </w:r>
    </w:p>
    <w:p>
      <w:pPr>
        <w:pStyle w:val="BodyText"/>
      </w:pPr>
      <w:r>
        <w:t xml:space="preserve">Государственная ветеринарная служба Восточного и Юго-Восточного административных округов города Москвы информирует о сохраняющейся неблагополучной эпизоотической ситуации по высокопатогенному гриппу птицу на территории Российской Федерации, в том числе на территории близлежащих к г. Москве субъектах Центрального федерального округа: Ивановская, Калужская, Рязанская, Белгородская, Курская, Ярославская области.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начала 2022 года на территории страны зарегистрировано 49 вспышек гриппа птиц: среди домашней птицы в личных подсобных хозяйствах граждан - 40 очагов, на крупных птицеводческих предприятиях - 5 очагов, среди дикой птицы - 4 очага.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7175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stochniy.mos.ru/www/iac_public_influence_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http://vostochniy.mos.ru/the-state-veterinary-service/detail/11089142.html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stochniy.mos.ru" TargetMode="External" /><Relationship Type="http://schemas.openxmlformats.org/officeDocument/2006/relationships/hyperlink" Id="rId23" Target="http://vostochniy.mos.ru/the-state-veterinary-service/detail/110891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stochniy.mos.ru" TargetMode="External" /><Relationship Type="http://schemas.openxmlformats.org/officeDocument/2006/relationships/hyperlink" Id="rId23" Target="http://vostochniy.mos.ru/the-state-veterinary-service/detail/110891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2025-06-21T11:55:19Z</dcterms:created>
  <dcterms:modified xsi:type="dcterms:W3CDTF">2025-06-21T11:55:19Z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