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юты-для-безнадзорных-животных"/>
    <w:p>
      <w:pPr>
        <w:pStyle w:val="Heading3"/>
      </w:pPr>
      <w:r>
        <w:t xml:space="preserve">Приюты для безнадзорных животных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Информация доступна по ссылке: </w:t>
      </w:r>
      <w:hyperlink r:id="rId20">
        <w:r>
          <w:rPr>
            <w:rStyle w:val="Hyperlink"/>
          </w:rPr>
          <w:t xml:space="preserve">https://data.mos.ru/opendata/7710878000-priyuty-dlya-brodyachih-jivotnyh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http://vostochniy.mos.ru/the-state-veterinary-service/detail/11387569.html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he-state-veterinary-service/detail/11387569.html" TargetMode="External" /><Relationship Type="http://schemas.openxmlformats.org/officeDocument/2006/relationships/hyperlink" Id="rId20" Target="https://data.mos.ru/opendata/7710878000-priyuty-dlya-brodyachih-jivotny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he-state-veterinary-service/detail/11387569.html" TargetMode="External" /><Relationship Type="http://schemas.openxmlformats.org/officeDocument/2006/relationships/hyperlink" Id="rId20" Target="https://data.mos.ru/opendata/7710878000-priyuty-dlya-brodyachih-jivotny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2025-05-14T22:25:30Z</dcterms:created>
  <dcterms:modified xsi:type="dcterms:W3CDTF">2025-05-14T22:25:30Z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