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8d7ba5509d39bc1e04b7df718e289f7deffc13"/>
    <w:p>
      <w:pPr>
        <w:pStyle w:val="Heading3"/>
      </w:pPr>
      <w:r>
        <w:t xml:space="preserve">Информация по губкообразной энцефалопатии у крупного рогатого скота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drawing>
          <wp:inline>
            <wp:extent cx="5334000" cy="38701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ГЭКРС%20ПАМЯТКА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0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321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ГЭКРС%20ПАМЯТКА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3210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stochniy.mos.ru/www/ГЭКРС%20ПАМЯТКА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http://vostochniy.mos.ru/the-state-veterinary-service/detail/11495094.html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vostochniy.mos.ru" TargetMode="External" /><Relationship Type="http://schemas.openxmlformats.org/officeDocument/2006/relationships/hyperlink" Id="rId29" Target="http://vostochniy.mos.ru/the-state-veterinary-service/detail/11495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ostochniy.mos.ru" TargetMode="External" /><Relationship Type="http://schemas.openxmlformats.org/officeDocument/2006/relationships/hyperlink" Id="rId29" Target="http://vostochniy.mos.ru/the-state-veterinary-service/detail/11495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2024-09-26T04:35:05Z</dcterms:created>
  <dcterms:modified xsi:type="dcterms:W3CDTF">2024-09-26T04:35:05Z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