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80295c790bc6b7b45e4c023513f38120e77d4a"/>
    <w:p>
      <w:pPr>
        <w:pStyle w:val="Heading3"/>
      </w:pPr>
      <w:r>
        <w:t xml:space="preserve">Измайловская межрайонная прокуратура разъясняет, с 1 января 2024 года изменится порядок определения нуждаемости семьи в государственной социальной помощи</w:t>
      </w:r>
    </w:p>
    <w:p>
      <w:pPr>
        <w:pStyle w:val="FirstParagraph"/>
      </w:pPr>
      <w:r>
        <w:t xml:space="preserve">05.12.2023</w:t>
      </w:r>
    </w:p>
    <w:p>
      <w:pPr>
        <w:pStyle w:val="BodyText"/>
      </w:pPr>
      <w:r>
        <w:t xml:space="preserve">Изменения внесены Федеральным законом от 24.07.2023 № 342-ФЗ, вступающим в силу с 01.01.2024, в Федеральный закон «О государственной социальной помощи» и Федеральный закон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>
      <w:pPr>
        <w:pStyle w:val="BodyText"/>
      </w:pPr>
      <w:r>
        <w:t xml:space="preserve">В первую очередь, при расчете нуждаемости в состав малоимущей семьи будут включаться только супруги, несовершеннолетние дети заявителя, дети, находящиеся под его опекой (попечительством), и его дети - студенты-очники в возрасте до 23 лет.</w:t>
      </w:r>
    </w:p>
    <w:p>
      <w:pPr>
        <w:pStyle w:val="BodyText"/>
      </w:pPr>
      <w:r>
        <w:t xml:space="preserve">При этом расширен перечень лиц, которые при расчете среднедушевого дохода в состав семьи не включаются:</w:t>
      </w:r>
    </w:p>
    <w:p>
      <w:pPr>
        <w:pStyle w:val="BodyText"/>
      </w:pPr>
      <w:r>
        <w:t xml:space="preserve">-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>
      <w:pPr>
        <w:pStyle w:val="BodyText"/>
      </w:pPr>
      <w:r>
        <w:t xml:space="preserve">-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службы;</w:t>
      </w:r>
    </w:p>
    <w:p>
      <w:pPr>
        <w:pStyle w:val="BodyText"/>
      </w:pPr>
      <w:r>
        <w:t xml:space="preserve">- лица, отбывающие наказание в виде лишения свободы;</w:t>
      </w:r>
    </w:p>
    <w:p>
      <w:pPr>
        <w:pStyle w:val="BodyText"/>
      </w:pPr>
      <w:r>
        <w:t xml:space="preserve">- лица, находящиеся на принудительном лечении по решению суда;</w:t>
      </w:r>
    </w:p>
    <w:p>
      <w:pPr>
        <w:pStyle w:val="BodyText"/>
      </w:pPr>
      <w:r>
        <w:t xml:space="preserve">- лица, в отношении которых применена мера пресечения в виде заключения под стражу;</w:t>
      </w:r>
    </w:p>
    <w:p>
      <w:pPr>
        <w:pStyle w:val="BodyText"/>
      </w:pPr>
      <w:r>
        <w:t xml:space="preserve">- лица, признанные безвестно отсутствующими или объявленные умершими;</w:t>
      </w:r>
    </w:p>
    <w:p>
      <w:pPr>
        <w:pStyle w:val="BodyText"/>
      </w:pPr>
      <w:r>
        <w:t xml:space="preserve">- лица, находящиеся в розыске;</w:t>
      </w:r>
    </w:p>
    <w:p>
      <w:pPr>
        <w:pStyle w:val="BodyText"/>
      </w:pPr>
      <w:r>
        <w:t xml:space="preserve">-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состоящие в браке.</w:t>
      </w:r>
    </w:p>
    <w:p>
      <w:pPr>
        <w:pStyle w:val="BodyText"/>
      </w:pPr>
      <w:r>
        <w:t xml:space="preserve">Кроме того, в доходах будут учитываться только суммы, получаемые членами семьи или одиноко проживающим гражданином в денежной форме. Положения, касающиеся получения дохода в натуральной форме, исключены. Доходы от предпринимательской деятельности будут учитываться за вычетом расходов.</w:t>
      </w:r>
    </w:p>
    <w:p>
      <w:pPr>
        <w:pStyle w:val="BodyText"/>
      </w:pPr>
      <w:r>
        <w:t xml:space="preserve">Заявление об оказании государственной социальной помощи, в том числе на основании социального контракта, теперь можно будет подать в электронном виде посредством Единого портала государственных и муниципальных услуг, а также через МФЦ.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http://vostochniy.mos.ru/your-safety/inform/detail/12024919.html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0249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0249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2024-09-26T04:38:48Z</dcterms:created>
  <dcterms:modified xsi:type="dcterms:W3CDTF">2024-09-26T04:38:48Z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