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01d2cd5395f9a77c19954ee3b849de49e4d6cf"/>
    <w:p>
      <w:pPr>
        <w:pStyle w:val="Heading3"/>
      </w:pPr>
      <w:r>
        <w:t xml:space="preserve">О внесении изменений в Федеральный закон «О противодействии терроризму» и отдельные законодательные акты Российской Федерации</w:t>
      </w:r>
    </w:p>
    <w:p>
      <w:pPr>
        <w:pStyle w:val="FirstParagraph"/>
      </w:pPr>
      <w:r>
        <w:t xml:space="preserve">09.11.2016</w:t>
      </w:r>
    </w:p>
    <w:p>
      <w:pPr>
        <w:pStyle w:val="BodyText"/>
      </w:pPr>
      <w:r>
        <w:t xml:space="preserve">06.07.2016 Федеральным законом № 374-ФЗ в рамках принятия антитеррористических мер в Федеральный закон "О противодействии терроризму" и отдельные законодательные акты Российской Федерации внесены значительные изменения, вступающие в силу с 20.07.2016.</w:t>
      </w:r>
    </w:p>
    <w:p>
      <w:pPr>
        <w:pStyle w:val="BodyText"/>
      </w:pPr>
      <w:r>
        <w:t xml:space="preserve">Федеральный закон от 06.03.2006 № 35-ФЗ «О противодействии терроризму» дополнен ст. 5.2, устанавливающей полномочия органов местного самоуправления в области противодействия терроризму.</w:t>
      </w:r>
    </w:p>
    <w:p>
      <w:pPr>
        <w:pStyle w:val="BodyText"/>
      </w:pPr>
      <w:r>
        <w:t xml:space="preserve">Изменениями, внесенными в Федеральный закон от 12.08.1995 № 144-ФЗ «Об оперативно-розыскной деятельности», дополнен перечень оперативно-розыскных мероприятий.</w:t>
      </w:r>
    </w:p>
    <w:p>
      <w:pPr>
        <w:pStyle w:val="BodyText"/>
      </w:pPr>
      <w:r>
        <w:t xml:space="preserve">Органы, осуществляющие оперативно-розыскную деятельность, наделяются полномочиями на получение удаленного доступа к любым информационным системам и базам данных, а также, по решению суда, компьютерной информации (электронные сообщения частных лиц).</w:t>
      </w:r>
    </w:p>
    <w:p>
      <w:pPr>
        <w:pStyle w:val="BodyText"/>
      </w:pPr>
      <w:r>
        <w:t xml:space="preserve">Кроме того, внесенными в законодательство изменениями уточнены отдельные положения Федерального закона от 13.12.1996 № 150-ФЗ «Об оружии», в соответствии с которыми конструктивно сходные с огнестрельным оружием изделия не должны содержать в своем составе основные части огнестрельного оружия, а при производстве таких изделий и определенных видов оружия запрещается использовать основные части не только боевого ручного стрелкового оружия и служебного огнестрельного оружия, но и снятого с учета в государственных военизированных организациях, а также списанного (ст. 6).</w:t>
      </w:r>
    </w:p>
    <w:p>
      <w:pPr>
        <w:pStyle w:val="BodyText"/>
      </w:pPr>
      <w:r>
        <w:t xml:space="preserve">Изменениями, внесенными в Федеральный закон от 26.09.1997 № 125-ФЗ «О свободе совести и о религиозных объединениях», введено понятие миссионерской деятельности, раскрыто ее содержание, установлен порядок осуществления.</w:t>
      </w:r>
    </w:p>
    <w:p>
      <w:pPr>
        <w:pStyle w:val="BodyText"/>
      </w:pPr>
      <w:r>
        <w:t xml:space="preserve">Закон запрещает осуществление миссионерской деятельности от имени религиозного объединения, цели и действия которого противоречат закону, в том числе, которое ликвидировано по решению суда, или деятельность которого приостановлена или запрещена в порядке и по основаниям, предусмотренным Федеральным законом «О противодействии экстремистской деятельности» либо Федеральным законом «О противодействии терроризму». Не допускается осуществление миссионерской деятельности, цели и действия которой направлены на нарушение общественной безопасности и общественного порядка, осуществление экстремистской деятельности и другие деструктивные цели.</w:t>
      </w:r>
    </w:p>
    <w:p>
      <w:pPr>
        <w:pStyle w:val="BodyText"/>
      </w:pPr>
      <w:r>
        <w:t xml:space="preserve">За нарушение правил осуществления миссионерской деятельности предусмотрена административная ответственность (ч. 3-5 ст. 5.26 КоАП РФ).</w:t>
      </w:r>
    </w:p>
    <w:p>
      <w:pPr>
        <w:pStyle w:val="BodyText"/>
      </w:pPr>
      <w:r>
        <w:t xml:space="preserve">Статьей 9 Федерального закона № 374-ФЗ внесены изменения в Федеральный закон от 17.07.1999 № 176-ФЗ «О почтовой связи», которые закрепили обязанность операторов почтовой связи принимать меры по недопущению к пересылке в почтовых отправлениях запрещенных предметов и веществ. В этих целях могут использоваться специальные устройства, обеспечивающие обнаружение оружия, взрывчатых веществ или других устройств, предметов и веществ, в отношении которых установлены запрет или ограничение.</w:t>
      </w:r>
    </w:p>
    <w:p>
      <w:pPr>
        <w:pStyle w:val="BodyText"/>
      </w:pPr>
      <w:r>
        <w:t xml:space="preserve">Изменениями, внесенными в Федеральный закон от 07.07.2003 № 126-ФЗ «О связи», предусмотрено, что операторы связи обязаны хранить информацию о фактах приема, передачи, доставки и обработки голосовой информации, текстовых сообщений, изображений, звуков, видео- или иных сообщений пользователей услугами связи в течение трех лет. В отношении текстовых сообщений, голосовой информации, изображений, звуков, видео-, иных сообщений пользователей услугами связи установлен срок хранения до шести месяцев.</w:t>
      </w:r>
    </w:p>
    <w:p>
      <w:pPr>
        <w:pStyle w:val="BodyText"/>
      </w:pPr>
      <w:r>
        <w:t xml:space="preserve">Аналогичные правила хранения информации введены в отношении организаторов распространения информации в сети «Интернет». Кроме того, провайдеры обязаны при использовании в электронных сообщениях пользователей сети «Интернет» дополнительного кодирования электронных сообщений представлять в органы ФСБ информацию, необходимую для декодирования принимаемых, передаваемых электронных сообщений.</w:t>
      </w:r>
    </w:p>
    <w:p>
      <w:pPr>
        <w:pStyle w:val="BodyText"/>
      </w:pPr>
      <w:r>
        <w:t xml:space="preserve">Расширен перечень составов преступлений, ответственность за совершение которых наступает с 14 лет.</w:t>
      </w:r>
    </w:p>
    <w:p>
      <w:pPr>
        <w:pStyle w:val="BodyText"/>
      </w:pPr>
      <w:r>
        <w:t xml:space="preserve">Федеральным законом № 374-ФЗ к преступлениям, ответственность за совершение которых наступает с 14 лет, отнесены, в том числе, прохождение обучения в целях осуществления террористической деятельности (ст. 205.3 УК РФ), участие в террористическом сообществе (ч. 2 ст. 205.4 УК РФ), участие в деятельности террористической организации (ч.2 ст. 205.5 УК РФ), несообщение о преступлении (ст. 205.6 УК РФ), участие в незаконном вооруженном формировании (ч.2 ст. 208 УК РФ), угон воздушного или водного судна либо железнодорожного подвижного состава (ст. 211 УК РФ), участие в массовых беспорядках (ч. 2 ст. 212 УК РФ). При этом освобождению от наказания несовершеннолетние не подлежат.</w:t>
      </w:r>
    </w:p>
    <w:p>
      <w:pPr>
        <w:pStyle w:val="BodyText"/>
      </w:pPr>
      <w:r>
        <w:t xml:space="preserve">Изменены редакции статей антитеррористической направленности – ст.ст. 205-205.5, 208, 212, 282, 282.2., 282.3, 322.1 УК РФ. Изменения коснулись диспозиций и примечаний некоторых статей в связи с введением новых составов преступлений, а также произошло усиление уголовной ответственности за совершение преступлений террористической направленности.</w:t>
      </w:r>
    </w:p>
    <w:p>
      <w:pPr>
        <w:pStyle w:val="BodyText"/>
      </w:pPr>
      <w:r>
        <w:t xml:space="preserve">Новой статьей 205.6 УК РФ введена уголовная ответственность за несообщение в органы власти, уполномоченные рассматривать сообщения о преступлении, о лице, которое по достоверно известным сведениям готовит, совершает или совершило хотя бы одно из преступлений, предусмотренных статьями 205-205.5, 206, 208, 211, 220, 221, 277-279, 360 и 361 УК РФ.</w:t>
      </w:r>
    </w:p>
    <w:p>
      <w:pPr>
        <w:pStyle w:val="BodyText"/>
      </w:pPr>
      <w:r>
        <w:t xml:space="preserve">В Кодекс добавлена статья 361, которой установлена уголовная ответственность за совершение за пределами Российской Федерации акта международного терроризма против граждан Российской Федерации.</w:t>
      </w:r>
    </w:p>
    <w:p>
      <w:pPr>
        <w:pStyle w:val="BodyText"/>
      </w:pPr>
      <w:r>
        <w:t xml:space="preserve">В связи с введением в Уголовный кодекс Российской Федерации новых статей, предусматривающих уголовную ответственность за совершение преступлений террористического характера, внесены изменения и дополнения в Уголовно-процессуальный кодекс Российской Федерации в части, касающейся подсудности и подследственности уголовных о новых составах преступлений.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http://vostochniy.mos.ru/your-safety/inform/detail/4154716.html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Восточный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ostochniy.mos.ru" TargetMode="External" /><Relationship Type="http://schemas.openxmlformats.org/officeDocument/2006/relationships/hyperlink" Id="rId20" Target="http://vostochniy.mos.ru/your-safety/inform/detail/415471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ostochniy.mos.ru" TargetMode="External" /><Relationship Type="http://schemas.openxmlformats.org/officeDocument/2006/relationships/hyperlink" Id="rId20" Target="http://vostochniy.mos.ru/your-safety/inform/detail/415471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2024-11-26T21:27:39Z</dcterms:created>
  <dcterms:modified xsi:type="dcterms:W3CDTF">2024-11-26T21:27:39Z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