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EFB"/>
  <w:body>
    <w:p w:rsidR="00000000" w:rsidRPr="006C6135" w:rsidRDefault="006C6135" w:rsidP="006C6135">
      <w:pPr>
        <w:pStyle w:val="a3"/>
        <w:spacing w:line="300" w:lineRule="auto"/>
        <w:ind w:left="360"/>
        <w:divId w:val="501898757"/>
        <w:rPr>
          <w:b/>
          <w:color w:val="333333"/>
          <w:sz w:val="27"/>
          <w:szCs w:val="27"/>
        </w:rPr>
      </w:pPr>
      <w:bookmarkStart w:id="0" w:name="_GoBack"/>
      <w:bookmarkEnd w:id="0"/>
      <w:r>
        <w:rPr>
          <w:color w:val="333333"/>
          <w:sz w:val="27"/>
          <w:szCs w:val="27"/>
        </w:rPr>
        <w:t> </w:t>
      </w:r>
      <w:r w:rsidRPr="006C6135">
        <w:rPr>
          <w:b/>
          <w:color w:val="333333"/>
          <w:sz w:val="27"/>
          <w:szCs w:val="27"/>
        </w:rPr>
        <w:t xml:space="preserve">Федеральный закон от 17 июля 2009 года </w:t>
      </w:r>
      <w:r w:rsidRPr="006C6135">
        <w:rPr>
          <w:b/>
          <w:color w:val="333333"/>
          <w:sz w:val="27"/>
          <w:szCs w:val="27"/>
        </w:rPr>
        <w:t>№ 172-</w:t>
      </w:r>
      <w:proofErr w:type="gramStart"/>
      <w:r w:rsidRPr="006C6135">
        <w:rPr>
          <w:b/>
          <w:color w:val="333333"/>
          <w:sz w:val="27"/>
          <w:szCs w:val="27"/>
        </w:rPr>
        <w:t>ФЗ</w:t>
      </w:r>
      <w:r w:rsidRPr="006C6135">
        <w:rPr>
          <w:b/>
          <w:color w:val="333333"/>
          <w:sz w:val="27"/>
          <w:szCs w:val="27"/>
        </w:rPr>
        <w:t xml:space="preserve">  «</w:t>
      </w:r>
      <w:proofErr w:type="gramEnd"/>
      <w:r w:rsidRPr="006C6135">
        <w:rPr>
          <w:b/>
          <w:color w:val="333333"/>
          <w:sz w:val="27"/>
          <w:szCs w:val="27"/>
        </w:rPr>
        <w:t>Об антикоррупционной экспертизе нормативных правовых актов и проектов нормативных правовых актов»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c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РОССИЙСКАЯ ФЕДЕРАЦИЯ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t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ФЕДЕРАЛЬНЫЙ ЗАКОН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t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 антикоррупционной экспертизе нормативных правовых актов и проектов нормативных правовых актов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i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Принят Государственной Думой                              3 июля 2009 года</w:t>
      </w:r>
    </w:p>
    <w:p w:rsidR="00000000" w:rsidRDefault="00501760">
      <w:pPr>
        <w:pStyle w:val="i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Одобрен Советом Федерации         </w:t>
      </w:r>
      <w:r>
        <w:rPr>
          <w:color w:val="333333"/>
          <w:sz w:val="27"/>
          <w:szCs w:val="27"/>
        </w:rPr>
        <w:t>                          7 июля 2009 года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c"/>
        <w:spacing w:line="300" w:lineRule="auto"/>
        <w:divId w:val="501898757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</w:t>
      </w:r>
      <w:proofErr w:type="gramStart"/>
      <w:r>
        <w:rPr>
          <w:rStyle w:val="markx"/>
          <w:sz w:val="27"/>
          <w:szCs w:val="27"/>
        </w:rPr>
        <w:t>В</w:t>
      </w:r>
      <w:proofErr w:type="gramEnd"/>
      <w:r>
        <w:rPr>
          <w:rStyle w:val="markx"/>
          <w:sz w:val="27"/>
          <w:szCs w:val="27"/>
        </w:rPr>
        <w:t xml:space="preserve"> редакции федеральных законов от 21.11.2011 № 329-ФЗ, от 21.10.2013 № 279-ФЗ, от 04.06.2018 № 145-ФЗ, от 11.10.2018 № 362-ФЗ, от 05.12.2022 № 498-ФЗ)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h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Настоящий Федеральный закон устанавливает п</w:t>
      </w:r>
      <w:r>
        <w:rPr>
          <w:color w:val="333333"/>
          <w:sz w:val="27"/>
          <w:szCs w:val="27"/>
        </w:rPr>
        <w:t xml:space="preserve">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 и их последующего устранения.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</w:t>
      </w:r>
      <w:proofErr w:type="spellStart"/>
      <w:r>
        <w:rPr>
          <w:color w:val="333333"/>
          <w:sz w:val="27"/>
          <w:szCs w:val="27"/>
        </w:rPr>
        <w:t>Коррупциогенными</w:t>
      </w:r>
      <w:proofErr w:type="spellEnd"/>
      <w:r>
        <w:rPr>
          <w:color w:val="333333"/>
          <w:sz w:val="27"/>
          <w:szCs w:val="27"/>
        </w:rPr>
        <w:t xml:space="preserve"> факторами являются положения н</w:t>
      </w:r>
      <w:r>
        <w:rPr>
          <w:color w:val="333333"/>
          <w:sz w:val="27"/>
          <w:szCs w:val="27"/>
        </w:rPr>
        <w:t xml:space="preserve">ормативных правовых актов (проектов нормативных правовых актов), устанавливающие для </w:t>
      </w:r>
      <w:proofErr w:type="spellStart"/>
      <w:r>
        <w:rPr>
          <w:color w:val="333333"/>
          <w:sz w:val="27"/>
          <w:szCs w:val="27"/>
        </w:rPr>
        <w:t>правоприменителя</w:t>
      </w:r>
      <w:proofErr w:type="spellEnd"/>
      <w:r>
        <w:rPr>
          <w:color w:val="333333"/>
          <w:sz w:val="27"/>
          <w:szCs w:val="27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</w:t>
      </w:r>
      <w:r>
        <w:rPr>
          <w:color w:val="333333"/>
          <w:sz w:val="27"/>
          <w:szCs w:val="27"/>
        </w:rPr>
        <w:t>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h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 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Основными принципами организации антикоррупционной экспертизы нормативных правовых актов (проектов норма</w:t>
      </w:r>
      <w:r>
        <w:rPr>
          <w:color w:val="333333"/>
          <w:sz w:val="27"/>
          <w:szCs w:val="27"/>
        </w:rPr>
        <w:t>тивных правовых актов) являются: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обязательность проведения антикоррупционной экспертизы проектов нормативных правовых актов;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оценка нормативного правового акта (проекта нормативного правового акта) во взаимосвязи с другими нормативными правовыми акта</w:t>
      </w:r>
      <w:r>
        <w:rPr>
          <w:color w:val="333333"/>
          <w:sz w:val="27"/>
          <w:szCs w:val="27"/>
        </w:rPr>
        <w:t xml:space="preserve">ми; </w:t>
      </w:r>
      <w:r>
        <w:rPr>
          <w:rStyle w:val="mark"/>
          <w:sz w:val="27"/>
          <w:szCs w:val="27"/>
        </w:rPr>
        <w:t>(</w:t>
      </w:r>
      <w:proofErr w:type="gramStart"/>
      <w:r>
        <w:rPr>
          <w:rStyle w:val="mark"/>
          <w:sz w:val="27"/>
          <w:szCs w:val="27"/>
        </w:rPr>
        <w:t>В</w:t>
      </w:r>
      <w:proofErr w:type="gramEnd"/>
      <w:r>
        <w:rPr>
          <w:rStyle w:val="mark"/>
          <w:sz w:val="27"/>
          <w:szCs w:val="27"/>
        </w:rPr>
        <w:t xml:space="preserve"> редакции Федерального закона от 04.06.2018 № 145-ФЗ)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3) обоснованность, объективность и </w:t>
      </w:r>
      <w:proofErr w:type="spellStart"/>
      <w:r>
        <w:rPr>
          <w:color w:val="333333"/>
          <w:sz w:val="27"/>
          <w:szCs w:val="27"/>
        </w:rPr>
        <w:t>проверяемость</w:t>
      </w:r>
      <w:proofErr w:type="spellEnd"/>
      <w:r>
        <w:rPr>
          <w:color w:val="333333"/>
          <w:sz w:val="27"/>
          <w:szCs w:val="27"/>
        </w:rPr>
        <w:t xml:space="preserve"> результатов антикоррупционной экспертизы нормативных правовых актов (проектов нормативных правовых актов);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компетентность лиц, проводящих антико</w:t>
      </w:r>
      <w:r>
        <w:rPr>
          <w:color w:val="333333"/>
          <w:sz w:val="27"/>
          <w:szCs w:val="27"/>
        </w:rPr>
        <w:t>ррупционную экспертизу нормативных правовых актов (проектов нормативных правовых актов);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</w:t>
      </w:r>
      <w:r>
        <w:rPr>
          <w:color w:val="333333"/>
          <w:sz w:val="27"/>
          <w:szCs w:val="27"/>
        </w:rPr>
        <w:t xml:space="preserve"> органов местного самоуправления, а также их должностных лиц (далее 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</w:t>
      </w:r>
      <w:r>
        <w:rPr>
          <w:color w:val="333333"/>
          <w:sz w:val="27"/>
          <w:szCs w:val="27"/>
        </w:rPr>
        <w:t>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h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3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Антикоррупционная экспертиза нормативных правовых актов (проектов нормативных правовых актов) проводится: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1) прокуратурой Российской Федерации - в соответствии с настоящим Федеральным законом и Федеральным законом </w:t>
      </w:r>
      <w:r>
        <w:rPr>
          <w:rStyle w:val="cmd"/>
          <w:color w:val="333333"/>
          <w:sz w:val="27"/>
          <w:szCs w:val="27"/>
        </w:rPr>
        <w:t>"О </w:t>
      </w:r>
      <w:r>
        <w:rPr>
          <w:rStyle w:val="cmd"/>
          <w:color w:val="333333"/>
          <w:sz w:val="27"/>
          <w:szCs w:val="27"/>
        </w:rPr>
        <w:t>прокуратуре Российской Федерации"</w:t>
      </w:r>
      <w:r>
        <w:rPr>
          <w:color w:val="333333"/>
          <w:sz w:val="27"/>
          <w:szCs w:val="27"/>
        </w:rPr>
        <w:t>, в установленном Генеральной прокуратурой Российской Федерации порядке и согласно методике, определенной Правительством Российской Федерации;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2) федеральным органом исполнительной власти в области юстиции - в соответствии </w:t>
      </w:r>
      <w:r>
        <w:rPr>
          <w:color w:val="333333"/>
          <w:sz w:val="27"/>
          <w:szCs w:val="27"/>
        </w:rPr>
        <w:t>с настоящим Федеральным законом, в порядке и согласно методике, определенным Правительством Российской Федерации;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3) органами, организациями, их должностными лицами - в соответствии с настоящим Федеральным законом, в порядке, установленном нормативными пра</w:t>
      </w:r>
      <w:r>
        <w:rPr>
          <w:color w:val="333333"/>
          <w:sz w:val="27"/>
          <w:szCs w:val="27"/>
        </w:rPr>
        <w:t>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методике, определенной Правитель</w:t>
      </w:r>
      <w:r>
        <w:rPr>
          <w:color w:val="333333"/>
          <w:sz w:val="27"/>
          <w:szCs w:val="27"/>
        </w:rPr>
        <w:t>ством Российской Федерации.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прав, свобод и обязанностей человека и граж</w:t>
      </w:r>
      <w:r>
        <w:rPr>
          <w:color w:val="333333"/>
          <w:sz w:val="27"/>
          <w:szCs w:val="27"/>
        </w:rPr>
        <w:t>данина;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</w:t>
      </w:r>
      <w:r>
        <w:rPr>
          <w:color w:val="333333"/>
          <w:sz w:val="27"/>
          <w:szCs w:val="27"/>
        </w:rPr>
        <w:t xml:space="preserve">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социальных гарантий лицам, замещающим (замещавшим) государственные или муницип</w:t>
      </w:r>
      <w:r>
        <w:rPr>
          <w:color w:val="333333"/>
          <w:sz w:val="27"/>
          <w:szCs w:val="27"/>
        </w:rPr>
        <w:t>альные должности, должности государственной или муниципальной службы.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Федеральный орган исполнительной власти в области юстиции проводит антикоррупционную экспертизу: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проектов федеральных законов, проектов указов Президента Российской Федерации и про</w:t>
      </w:r>
      <w:r>
        <w:rPr>
          <w:color w:val="333333"/>
          <w:sz w:val="27"/>
          <w:szCs w:val="27"/>
        </w:rPr>
        <w:t>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 - при проведении их правовой экспертизы;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проектов поправок Правительства Российской Фед</w:t>
      </w:r>
      <w:r>
        <w:rPr>
          <w:color w:val="333333"/>
          <w:sz w:val="27"/>
          <w:szCs w:val="27"/>
        </w:rPr>
        <w:t xml:space="preserve">ерации к проектам федеральных законов, подготовленным федеральными органами исполнительной власти, иными государственными органами и организациями, - при проведении их правовой экспертизы; </w:t>
      </w:r>
      <w:r>
        <w:rPr>
          <w:rStyle w:val="mark"/>
          <w:sz w:val="27"/>
          <w:szCs w:val="27"/>
        </w:rPr>
        <w:t>(</w:t>
      </w:r>
      <w:proofErr w:type="gramStart"/>
      <w:r>
        <w:rPr>
          <w:rStyle w:val="mark"/>
          <w:sz w:val="27"/>
          <w:szCs w:val="27"/>
        </w:rPr>
        <w:t>В</w:t>
      </w:r>
      <w:proofErr w:type="gramEnd"/>
      <w:r>
        <w:rPr>
          <w:rStyle w:val="mark"/>
          <w:sz w:val="27"/>
          <w:szCs w:val="27"/>
        </w:rPr>
        <w:t xml:space="preserve"> редакции федеральных законов от 21.11.2011 № 329-ФЗ; от 21.10.20</w:t>
      </w:r>
      <w:r>
        <w:rPr>
          <w:rStyle w:val="mark"/>
          <w:sz w:val="27"/>
          <w:szCs w:val="27"/>
        </w:rPr>
        <w:t>13 № 279-ФЗ)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3) нормативных правовых актов федеральных органов исполнительной власти, иных государственных органов и организаций, затрагивающих права, </w:t>
      </w:r>
      <w:r>
        <w:rPr>
          <w:color w:val="333333"/>
          <w:sz w:val="27"/>
          <w:szCs w:val="27"/>
        </w:rPr>
        <w:lastRenderedPageBreak/>
        <w:t>свободы и обязанности человека и гражданина, устанавливающих правовой статус организаций или имеющих межв</w:t>
      </w:r>
      <w:r>
        <w:rPr>
          <w:color w:val="333333"/>
          <w:sz w:val="27"/>
          <w:szCs w:val="27"/>
        </w:rPr>
        <w:t>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 - при их государственной регистрации;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нормативных правовых актов субъектов Российской Федерации - при</w:t>
      </w:r>
      <w:r>
        <w:rPr>
          <w:color w:val="333333"/>
          <w:sz w:val="27"/>
          <w:szCs w:val="27"/>
        </w:rPr>
        <w:t xml:space="preserve"> мониторинге их применения и при внесении сведений в федеральный регистр нормативных правовых актов субъектов Российской Федерации. </w:t>
      </w:r>
      <w:r>
        <w:rPr>
          <w:rStyle w:val="mark"/>
          <w:sz w:val="27"/>
          <w:szCs w:val="27"/>
        </w:rPr>
        <w:t>(</w:t>
      </w:r>
      <w:proofErr w:type="gramStart"/>
      <w:r>
        <w:rPr>
          <w:rStyle w:val="mark"/>
          <w:sz w:val="27"/>
          <w:szCs w:val="27"/>
        </w:rPr>
        <w:t>В</w:t>
      </w:r>
      <w:proofErr w:type="gramEnd"/>
      <w:r>
        <w:rPr>
          <w:rStyle w:val="mark"/>
          <w:sz w:val="27"/>
          <w:szCs w:val="27"/>
        </w:rPr>
        <w:t xml:space="preserve"> редакции Федерального закона от 21.11.2011 № 329-ФЗ)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Органы, организации, их должностные лица проводят антикоррупционн</w:t>
      </w:r>
      <w:r>
        <w:rPr>
          <w:color w:val="333333"/>
          <w:sz w:val="27"/>
          <w:szCs w:val="27"/>
        </w:rPr>
        <w:t>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Органы, организации, их должностные лица в случае обнаружения в нормативных правовых актах (пр</w:t>
      </w:r>
      <w:r>
        <w:rPr>
          <w:color w:val="333333"/>
          <w:sz w:val="27"/>
          <w:szCs w:val="27"/>
        </w:rPr>
        <w:t xml:space="preserve">оектах нормативных правовых актов)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факторов, принятие мер по устранению которых не относится к их компетенции, информируют об этом органы прокуратуры.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6. Антикоррупционная экспертиза нормативных правовых актов, принятых реорганизованными и </w:t>
      </w:r>
      <w:r>
        <w:rPr>
          <w:color w:val="333333"/>
          <w:sz w:val="27"/>
          <w:szCs w:val="27"/>
        </w:rPr>
        <w:t xml:space="preserve">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 </w:t>
      </w:r>
      <w:r>
        <w:rPr>
          <w:rStyle w:val="mark"/>
          <w:sz w:val="27"/>
          <w:szCs w:val="27"/>
        </w:rPr>
        <w:t>(Дополнение частью - Феде</w:t>
      </w:r>
      <w:r>
        <w:rPr>
          <w:rStyle w:val="mark"/>
          <w:sz w:val="27"/>
          <w:szCs w:val="27"/>
        </w:rPr>
        <w:t>ральный закон от 21.11.2011 № 329-ФЗ)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</w:t>
      </w:r>
      <w:r>
        <w:rPr>
          <w:color w:val="333333"/>
          <w:sz w:val="27"/>
          <w:szCs w:val="27"/>
        </w:rPr>
        <w:t xml:space="preserve">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 </w:t>
      </w:r>
      <w:r>
        <w:rPr>
          <w:rStyle w:val="mark"/>
          <w:sz w:val="27"/>
          <w:szCs w:val="27"/>
        </w:rPr>
        <w:t>(Дополнение частью -</w:t>
      </w:r>
      <w:r>
        <w:rPr>
          <w:rStyle w:val="mark"/>
          <w:sz w:val="27"/>
          <w:szCs w:val="27"/>
        </w:rPr>
        <w:t xml:space="preserve"> Федеральный закон от 21.11.2011 № 329-ФЗ)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8. При выявлении в нормативных правовых актах реорганизованных и (или) упраздненных органов, организаций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 органы, организации, которым переданы полномочия реорганизованных и (или) упразднен</w:t>
      </w:r>
      <w:r>
        <w:rPr>
          <w:color w:val="333333"/>
          <w:sz w:val="27"/>
          <w:szCs w:val="27"/>
        </w:rPr>
        <w:t xml:space="preserve">ных органов, организаций, либо орган, к компетенции которого относится осуществление функции по выработке государственной политики и </w:t>
      </w:r>
      <w:r>
        <w:rPr>
          <w:color w:val="333333"/>
          <w:sz w:val="27"/>
          <w:szCs w:val="27"/>
        </w:rPr>
        <w:lastRenderedPageBreak/>
        <w:t>нормативно-правовому регулированию в соответствующей сфере деятельности, принимают решение о разработке проекта нормативног</w:t>
      </w:r>
      <w:r>
        <w:rPr>
          <w:color w:val="333333"/>
          <w:sz w:val="27"/>
          <w:szCs w:val="27"/>
        </w:rPr>
        <w:t xml:space="preserve">о правового акта, направленного на исключение из нормативного правового акта реорганизованных и (или) упраздненных органа, организации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факторов. </w:t>
      </w:r>
      <w:r>
        <w:rPr>
          <w:rStyle w:val="mark"/>
          <w:sz w:val="27"/>
          <w:szCs w:val="27"/>
        </w:rPr>
        <w:t>(Дополнение частью - Федеральный закон от 21.11.2011 № 329-ФЗ)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h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4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Выявленные в нор</w:t>
      </w:r>
      <w:r>
        <w:rPr>
          <w:color w:val="333333"/>
          <w:sz w:val="27"/>
          <w:szCs w:val="27"/>
        </w:rPr>
        <w:t xml:space="preserve">мативных правовых актах (проектах нормативных правовых актов) </w:t>
      </w:r>
      <w:proofErr w:type="spellStart"/>
      <w:r>
        <w:rPr>
          <w:color w:val="333333"/>
          <w:sz w:val="27"/>
          <w:szCs w:val="27"/>
        </w:rPr>
        <w:t>коррупциогенные</w:t>
      </w:r>
      <w:proofErr w:type="spellEnd"/>
      <w:r>
        <w:rPr>
          <w:color w:val="333333"/>
          <w:sz w:val="27"/>
          <w:szCs w:val="27"/>
        </w:rPr>
        <w:t xml:space="preserve"> факторы отражаются: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</w:t>
      </w:r>
      <w:r>
        <w:rPr>
          <w:color w:val="333333"/>
          <w:sz w:val="27"/>
          <w:szCs w:val="27"/>
        </w:rPr>
        <w:t xml:space="preserve"> Российской Федерации;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в заключении, составляемом при проведении антикоррупционной экспертизы в случаях, предусмотренных частями 3 и 4 статьи 3 настоящего Федерального закона (далее - заключение).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В требовании прокурора об изменении нормативного прав</w:t>
      </w:r>
      <w:r>
        <w:rPr>
          <w:color w:val="333333"/>
          <w:sz w:val="27"/>
          <w:szCs w:val="27"/>
        </w:rPr>
        <w:t xml:space="preserve">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>
        <w:rPr>
          <w:color w:val="333333"/>
          <w:sz w:val="27"/>
          <w:szCs w:val="27"/>
        </w:rPr>
        <w:t>коррупциогенные</w:t>
      </w:r>
      <w:proofErr w:type="spellEnd"/>
      <w:r>
        <w:rPr>
          <w:color w:val="333333"/>
          <w:sz w:val="27"/>
          <w:szCs w:val="27"/>
        </w:rPr>
        <w:t xml:space="preserve"> факторы и предложены способы их устранения.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</w:t>
      </w:r>
      <w:r>
        <w:rPr>
          <w:color w:val="333333"/>
          <w:sz w:val="27"/>
          <w:szCs w:val="27"/>
        </w:rP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</w:t>
      </w:r>
      <w:r>
        <w:rPr>
          <w:color w:val="333333"/>
          <w:sz w:val="27"/>
          <w:szCs w:val="27"/>
        </w:rPr>
        <w:t>орядке органом, организацией или должностным лицом, которые издали этот акт, в соответствии с их компетенцией. Требование прокурора об изменении нормативного правового акта, направленное в законодательный (представительный) орган государственной власти суб</w:t>
      </w:r>
      <w:r>
        <w:rPr>
          <w:color w:val="333333"/>
          <w:sz w:val="27"/>
          <w:szCs w:val="27"/>
        </w:rPr>
        <w:t xml:space="preserve">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</w:t>
      </w:r>
      <w:r>
        <w:rPr>
          <w:color w:val="333333"/>
          <w:sz w:val="27"/>
          <w:szCs w:val="27"/>
        </w:rPr>
        <w:t>компетенцией.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Требование прокурора об изменении нормативного правового акта может быть обжаловано в установленном порядке.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4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Заключения, составляемые при проведении антикоррупционной экспертизы в случаях, предусмотренных пунктом 3 части 3 статьи 3 нас</w:t>
      </w:r>
      <w:r>
        <w:rPr>
          <w:color w:val="333333"/>
          <w:sz w:val="27"/>
          <w:szCs w:val="27"/>
        </w:rPr>
        <w:t xml:space="preserve">тоящего Федерального закона, носят обязательный характер. При выявлении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</w:t>
      </w:r>
      <w:r>
        <w:rPr>
          <w:color w:val="333333"/>
          <w:sz w:val="27"/>
          <w:szCs w:val="27"/>
        </w:rPr>
        <w:t>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</w:t>
      </w:r>
      <w:r>
        <w:rPr>
          <w:color w:val="333333"/>
          <w:sz w:val="27"/>
          <w:szCs w:val="27"/>
        </w:rPr>
        <w:t xml:space="preserve">одлежат государственной регистрации. </w:t>
      </w:r>
      <w:r>
        <w:rPr>
          <w:rStyle w:val="mark"/>
          <w:sz w:val="27"/>
          <w:szCs w:val="27"/>
        </w:rPr>
        <w:t>(Дополнение частью - Федеральный закон от 21.11.2011 № 329-ФЗ)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Заключения, составляемые при проведении антикоррупционной экспертизы в случаях, предусмотренных пунктами 1, 2 и 4 части 3 статьи 3 настоящего Федеральног</w:t>
      </w:r>
      <w:r>
        <w:rPr>
          <w:color w:val="333333"/>
          <w:sz w:val="27"/>
          <w:szCs w:val="27"/>
        </w:rPr>
        <w:t xml:space="preserve">о закона, носят рекомендательный характер и подлежат обязательному рассмотрению соответствующими органом, организацией или должностным лицом. </w:t>
      </w:r>
      <w:r>
        <w:rPr>
          <w:rStyle w:val="mark"/>
          <w:sz w:val="27"/>
          <w:szCs w:val="27"/>
        </w:rPr>
        <w:t>(</w:t>
      </w:r>
      <w:proofErr w:type="gramStart"/>
      <w:r>
        <w:rPr>
          <w:rStyle w:val="mark"/>
          <w:sz w:val="27"/>
          <w:szCs w:val="27"/>
        </w:rPr>
        <w:t>В</w:t>
      </w:r>
      <w:proofErr w:type="gramEnd"/>
      <w:r>
        <w:rPr>
          <w:rStyle w:val="mark"/>
          <w:sz w:val="27"/>
          <w:szCs w:val="27"/>
        </w:rPr>
        <w:t xml:space="preserve"> редакции Федерального закона от 21.11.2011 № 329-ФЗ)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Разногласия, возникающие при оценке указанных в заключе</w:t>
      </w:r>
      <w:r>
        <w:rPr>
          <w:color w:val="333333"/>
          <w:sz w:val="27"/>
          <w:szCs w:val="27"/>
        </w:rPr>
        <w:t xml:space="preserve">нии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факторов, разрешаются в порядке, установленном Правительством Российской Федерации. </w:t>
      </w:r>
      <w:r>
        <w:rPr>
          <w:rStyle w:val="mark"/>
          <w:sz w:val="27"/>
          <w:szCs w:val="27"/>
        </w:rPr>
        <w:t>(</w:t>
      </w:r>
      <w:proofErr w:type="gramStart"/>
      <w:r>
        <w:rPr>
          <w:rStyle w:val="mark"/>
          <w:sz w:val="27"/>
          <w:szCs w:val="27"/>
        </w:rPr>
        <w:t>В</w:t>
      </w:r>
      <w:proofErr w:type="gramEnd"/>
      <w:r>
        <w:rPr>
          <w:rStyle w:val="mark"/>
          <w:sz w:val="27"/>
          <w:szCs w:val="27"/>
        </w:rPr>
        <w:t xml:space="preserve"> редакции Федерального закона от 21.11.2011 № 329-ФЗ)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h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5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Институты гражданского общества и граждане Российской Федерации (далее - граждан</w:t>
      </w:r>
      <w:r>
        <w:rPr>
          <w:color w:val="333333"/>
          <w:sz w:val="27"/>
          <w:szCs w:val="27"/>
        </w:rPr>
        <w:t>е) могут в 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Порядок и условия аккре</w:t>
      </w:r>
      <w:r>
        <w:rPr>
          <w:color w:val="333333"/>
          <w:sz w:val="27"/>
          <w:szCs w:val="27"/>
        </w:rPr>
        <w:t xml:space="preserve">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 </w:t>
      </w:r>
      <w:r>
        <w:rPr>
          <w:rStyle w:val="mark"/>
          <w:sz w:val="27"/>
          <w:szCs w:val="27"/>
        </w:rPr>
        <w:t>(</w:t>
      </w:r>
      <w:proofErr w:type="gramStart"/>
      <w:r>
        <w:rPr>
          <w:rStyle w:val="mark"/>
          <w:sz w:val="27"/>
          <w:szCs w:val="27"/>
        </w:rPr>
        <w:t>В</w:t>
      </w:r>
      <w:proofErr w:type="gramEnd"/>
      <w:r>
        <w:rPr>
          <w:rStyle w:val="mark"/>
          <w:sz w:val="27"/>
          <w:szCs w:val="27"/>
        </w:rPr>
        <w:t xml:space="preserve"> редакции федеральных законов от 21.11.</w:t>
      </w:r>
      <w:r>
        <w:rPr>
          <w:rStyle w:val="mark"/>
          <w:sz w:val="27"/>
          <w:szCs w:val="27"/>
        </w:rPr>
        <w:t>2011 № 329-ФЗ; от 11.10.2018 № 362-ФЗ)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гражданами, имеющими неснятую или непогашенную судимость;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гражданами, свед</w:t>
      </w:r>
      <w:r>
        <w:rPr>
          <w:color w:val="333333"/>
          <w:sz w:val="27"/>
          <w:szCs w:val="27"/>
        </w:rPr>
        <w:t xml:space="preserve">ения </w:t>
      </w:r>
      <w:proofErr w:type="gramStart"/>
      <w:r>
        <w:rPr>
          <w:color w:val="333333"/>
          <w:sz w:val="27"/>
          <w:szCs w:val="27"/>
        </w:rPr>
        <w:t>о применении</w:t>
      </w:r>
      <w:proofErr w:type="gramEnd"/>
      <w:r>
        <w:rPr>
          <w:color w:val="333333"/>
          <w:sz w:val="27"/>
          <w:szCs w:val="27"/>
        </w:rPr>
        <w:t xml:space="preserve">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гражданами, осуществляющими деятельност</w:t>
      </w:r>
      <w:r>
        <w:rPr>
          <w:color w:val="333333"/>
          <w:sz w:val="27"/>
          <w:szCs w:val="27"/>
        </w:rPr>
        <w:t>ь в органах и организациях, указанных в пункте 3 части 1 статьи 3 настоящего Федерального закона;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международными и иностранными организациями;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5) иностранными агентами.</w:t>
      </w:r>
      <w:r>
        <w:rPr>
          <w:rStyle w:val="markx"/>
          <w:sz w:val="27"/>
          <w:szCs w:val="27"/>
        </w:rPr>
        <w:t> (</w:t>
      </w:r>
      <w:proofErr w:type="gramStart"/>
      <w:r>
        <w:rPr>
          <w:rStyle w:val="markx"/>
          <w:sz w:val="27"/>
          <w:szCs w:val="27"/>
        </w:rPr>
        <w:t>В</w:t>
      </w:r>
      <w:proofErr w:type="gramEnd"/>
      <w:r>
        <w:rPr>
          <w:rStyle w:val="markx"/>
          <w:sz w:val="27"/>
          <w:szCs w:val="27"/>
        </w:rPr>
        <w:t xml:space="preserve"> редакции Федерального закона от 05.12.2022 № 498-ФЗ)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частью - Федерал</w:t>
      </w:r>
      <w:r>
        <w:rPr>
          <w:rStyle w:val="mark"/>
          <w:sz w:val="27"/>
          <w:szCs w:val="27"/>
        </w:rPr>
        <w:t>ьный закон от 11.10.2018 № 362-ФЗ)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2. В заключении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</w:t>
      </w:r>
      <w:proofErr w:type="spellStart"/>
      <w:r>
        <w:rPr>
          <w:color w:val="333333"/>
          <w:sz w:val="27"/>
          <w:szCs w:val="27"/>
        </w:rPr>
        <w:t>коррупциогенные</w:t>
      </w:r>
      <w:proofErr w:type="spellEnd"/>
      <w:r>
        <w:rPr>
          <w:color w:val="333333"/>
          <w:sz w:val="27"/>
          <w:szCs w:val="27"/>
        </w:rPr>
        <w:t xml:space="preserve"> факторы и предложены способы их устр</w:t>
      </w:r>
      <w:r>
        <w:rPr>
          <w:color w:val="333333"/>
          <w:sz w:val="27"/>
          <w:szCs w:val="27"/>
        </w:rPr>
        <w:t>анения.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</w:t>
      </w:r>
      <w:r>
        <w:rPr>
          <w:color w:val="333333"/>
          <w:sz w:val="27"/>
          <w:szCs w:val="27"/>
        </w:rPr>
        <w:t xml:space="preserve">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</w:t>
      </w:r>
      <w:r>
        <w:rPr>
          <w:color w:val="333333"/>
          <w:sz w:val="27"/>
          <w:szCs w:val="27"/>
        </w:rPr>
        <w:t>.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i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 Российской Федерации                               </w:t>
      </w:r>
      <w:proofErr w:type="spellStart"/>
      <w:r>
        <w:rPr>
          <w:color w:val="333333"/>
          <w:sz w:val="27"/>
          <w:szCs w:val="27"/>
        </w:rPr>
        <w:t>Д.Медведев</w:t>
      </w:r>
      <w:proofErr w:type="spellEnd"/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Москва, Кремль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17 июля 2009 года</w:t>
      </w:r>
    </w:p>
    <w:p w:rsidR="0000000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№ 172-ФЗ</w:t>
      </w:r>
    </w:p>
    <w:p w:rsidR="00501760" w:rsidRDefault="00501760">
      <w:pPr>
        <w:pStyle w:val="a3"/>
        <w:spacing w:line="300" w:lineRule="auto"/>
        <w:divId w:val="50189875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 </w:t>
      </w:r>
    </w:p>
    <w:sectPr w:rsidR="00501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86115"/>
    <w:rsid w:val="00501760"/>
    <w:rsid w:val="006C6135"/>
    <w:rsid w:val="00D8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1D8CF"/>
  <w15:chartTrackingRefBased/>
  <w15:docId w15:val="{55F2627B-0742-47E2-8D18-AC180A4E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90" w:after="90"/>
      <w:ind w:firstLine="675"/>
      <w:jc w:val="both"/>
    </w:pPr>
  </w:style>
  <w:style w:type="paragraph" w:styleId="a3">
    <w:name w:val="Normal (Web)"/>
    <w:basedOn w:val="a"/>
    <w:uiPriority w:val="99"/>
    <w:semiHidden/>
    <w:unhideWhenUsed/>
    <w:pPr>
      <w:spacing w:before="90" w:after="90"/>
      <w:ind w:firstLine="675"/>
      <w:jc w:val="both"/>
    </w:pPr>
  </w:style>
  <w:style w:type="paragraph" w:customStyle="1" w:styleId="i">
    <w:name w:val="i"/>
    <w:basedOn w:val="a"/>
    <w:pPr>
      <w:spacing w:before="90" w:after="90"/>
      <w:ind w:left="675"/>
    </w:pPr>
  </w:style>
  <w:style w:type="paragraph" w:customStyle="1" w:styleId="k">
    <w:name w:val="k"/>
    <w:basedOn w:val="a"/>
    <w:pPr>
      <w:spacing w:before="90" w:after="90"/>
      <w:ind w:left="675"/>
      <w:jc w:val="both"/>
    </w:pPr>
  </w:style>
  <w:style w:type="paragraph" w:customStyle="1" w:styleId="h">
    <w:name w:val="h"/>
    <w:basedOn w:val="a"/>
    <w:pPr>
      <w:spacing w:before="90" w:after="90"/>
      <w:ind w:left="1890" w:hanging="1215"/>
    </w:pPr>
    <w:rPr>
      <w:b/>
      <w:bCs/>
    </w:rPr>
  </w:style>
  <w:style w:type="paragraph" w:customStyle="1" w:styleId="s">
    <w:name w:val="s"/>
    <w:basedOn w:val="a"/>
    <w:pPr>
      <w:spacing w:before="90" w:after="90"/>
      <w:ind w:left="5100"/>
      <w:jc w:val="center"/>
    </w:pPr>
  </w:style>
  <w:style w:type="paragraph" w:customStyle="1" w:styleId="c">
    <w:name w:val="c"/>
    <w:basedOn w:val="a"/>
    <w:pPr>
      <w:spacing w:before="90" w:after="90"/>
      <w:ind w:left="675" w:right="675"/>
      <w:jc w:val="center"/>
    </w:pPr>
  </w:style>
  <w:style w:type="paragraph" w:customStyle="1" w:styleId="t">
    <w:name w:val="t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z">
    <w:name w:val="z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y">
    <w:name w:val="y"/>
    <w:basedOn w:val="a"/>
    <w:pPr>
      <w:spacing w:before="90" w:after="90"/>
      <w:ind w:left="675"/>
    </w:pPr>
  </w:style>
  <w:style w:type="paragraph" w:customStyle="1" w:styleId="m">
    <w:name w:val="m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">
    <w:name w:val="l"/>
    <w:basedOn w:val="a"/>
    <w:pPr>
      <w:spacing w:before="90" w:after="90"/>
    </w:pPr>
  </w:style>
  <w:style w:type="paragraph" w:customStyle="1" w:styleId="r">
    <w:name w:val="r"/>
    <w:basedOn w:val="a"/>
    <w:pPr>
      <w:spacing w:before="90" w:after="90"/>
      <w:jc w:val="right"/>
    </w:pPr>
  </w:style>
  <w:style w:type="paragraph" w:customStyle="1" w:styleId="j">
    <w:name w:val="j"/>
    <w:basedOn w:val="a"/>
    <w:pPr>
      <w:spacing w:before="90" w:after="90"/>
      <w:jc w:val="both"/>
    </w:pPr>
  </w:style>
  <w:style w:type="paragraph" w:customStyle="1" w:styleId="f">
    <w:name w:val="f"/>
    <w:basedOn w:val="a"/>
    <w:pPr>
      <w:pBdr>
        <w:left w:val="single" w:sz="36" w:space="4" w:color="94DD96"/>
      </w:pBdr>
      <w:shd w:val="clear" w:color="auto" w:fill="DCFEED"/>
      <w:spacing w:before="90" w:after="90"/>
      <w:ind w:left="675"/>
    </w:pPr>
  </w:style>
  <w:style w:type="paragraph" w:customStyle="1" w:styleId="a4">
    <w:name w:val="a"/>
    <w:basedOn w:val="a"/>
    <w:pPr>
      <w:pBdr>
        <w:left w:val="single" w:sz="36" w:space="4" w:color="C0C0C0"/>
      </w:pBdr>
      <w:shd w:val="clear" w:color="auto" w:fill="F0F0F0"/>
      <w:spacing w:before="90" w:after="90"/>
      <w:ind w:left="675"/>
    </w:pPr>
  </w:style>
  <w:style w:type="paragraph" w:customStyle="1" w:styleId="p">
    <w:name w:val="p"/>
    <w:basedOn w:val="a"/>
    <w:pPr>
      <w:spacing w:before="90" w:after="90"/>
      <w:ind w:firstLine="675"/>
      <w:jc w:val="both"/>
    </w:pPr>
  </w:style>
  <w:style w:type="paragraph" w:customStyle="1" w:styleId="n">
    <w:name w:val="n"/>
    <w:basedOn w:val="a"/>
    <w:pPr>
      <w:spacing w:before="90" w:after="90"/>
      <w:ind w:firstLine="675"/>
      <w:jc w:val="both"/>
    </w:pPr>
  </w:style>
  <w:style w:type="paragraph" w:customStyle="1" w:styleId="hd">
    <w:name w:val="hd"/>
    <w:basedOn w:val="a"/>
    <w:pPr>
      <w:spacing w:before="90" w:after="90"/>
      <w:ind w:firstLine="675"/>
      <w:jc w:val="both"/>
    </w:pPr>
    <w:rPr>
      <w:vanish/>
    </w:rPr>
  </w:style>
  <w:style w:type="paragraph" w:customStyle="1" w:styleId="w0">
    <w:name w:val="w0"/>
    <w:basedOn w:val="a"/>
    <w:pPr>
      <w:spacing w:before="90" w:after="90"/>
      <w:ind w:firstLine="675"/>
      <w:jc w:val="both"/>
      <w:textAlignment w:val="baseline"/>
    </w:pPr>
  </w:style>
  <w:style w:type="paragraph" w:customStyle="1" w:styleId="w1">
    <w:name w:val="w1"/>
    <w:basedOn w:val="a"/>
    <w:pPr>
      <w:spacing w:before="90" w:after="90"/>
      <w:ind w:firstLine="675"/>
      <w:jc w:val="both"/>
      <w:textAlignment w:val="baseline"/>
    </w:pPr>
    <w:rPr>
      <w:u w:val="single"/>
    </w:rPr>
  </w:style>
  <w:style w:type="paragraph" w:customStyle="1" w:styleId="w2">
    <w:name w:val="w2"/>
    <w:basedOn w:val="a"/>
    <w:pPr>
      <w:spacing w:before="90" w:after="90"/>
      <w:ind w:firstLine="675"/>
      <w:jc w:val="both"/>
      <w:textAlignment w:val="baseline"/>
    </w:pPr>
    <w:rPr>
      <w:i/>
      <w:iCs/>
    </w:rPr>
  </w:style>
  <w:style w:type="paragraph" w:customStyle="1" w:styleId="w3">
    <w:name w:val="w3"/>
    <w:basedOn w:val="a"/>
    <w:pPr>
      <w:spacing w:before="90" w:after="90"/>
      <w:ind w:firstLine="675"/>
      <w:jc w:val="both"/>
      <w:textAlignment w:val="baseline"/>
    </w:pPr>
    <w:rPr>
      <w:i/>
      <w:iCs/>
      <w:u w:val="single"/>
    </w:rPr>
  </w:style>
  <w:style w:type="paragraph" w:customStyle="1" w:styleId="w4">
    <w:name w:val="w4"/>
    <w:basedOn w:val="a"/>
    <w:pPr>
      <w:spacing w:before="90" w:after="90"/>
      <w:ind w:firstLine="675"/>
      <w:jc w:val="both"/>
      <w:textAlignment w:val="baseline"/>
    </w:pPr>
    <w:rPr>
      <w:b/>
      <w:bCs/>
    </w:rPr>
  </w:style>
  <w:style w:type="paragraph" w:customStyle="1" w:styleId="w5">
    <w:name w:val="w5"/>
    <w:basedOn w:val="a"/>
    <w:pPr>
      <w:spacing w:before="90" w:after="90"/>
      <w:ind w:firstLine="675"/>
      <w:jc w:val="both"/>
      <w:textAlignment w:val="baseline"/>
    </w:pPr>
    <w:rPr>
      <w:b/>
      <w:bCs/>
      <w:u w:val="single"/>
    </w:rPr>
  </w:style>
  <w:style w:type="paragraph" w:customStyle="1" w:styleId="w6">
    <w:name w:val="w6"/>
    <w:basedOn w:val="a"/>
    <w:pPr>
      <w:spacing w:before="90" w:after="90"/>
      <w:ind w:firstLine="675"/>
      <w:jc w:val="both"/>
      <w:textAlignment w:val="baseline"/>
    </w:pPr>
    <w:rPr>
      <w:b/>
      <w:bCs/>
      <w:i/>
      <w:iCs/>
    </w:rPr>
  </w:style>
  <w:style w:type="paragraph" w:customStyle="1" w:styleId="w7">
    <w:name w:val="w7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u w:val="single"/>
    </w:rPr>
  </w:style>
  <w:style w:type="paragraph" w:customStyle="1" w:styleId="w8">
    <w:name w:val="w8"/>
    <w:basedOn w:val="a"/>
    <w:pPr>
      <w:spacing w:before="90" w:after="90"/>
      <w:ind w:firstLine="675"/>
      <w:jc w:val="both"/>
    </w:pPr>
    <w:rPr>
      <w:vertAlign w:val="subscript"/>
    </w:rPr>
  </w:style>
  <w:style w:type="paragraph" w:customStyle="1" w:styleId="w9">
    <w:name w:val="w9"/>
    <w:basedOn w:val="a"/>
    <w:pPr>
      <w:spacing w:before="90" w:after="90"/>
      <w:ind w:firstLine="675"/>
      <w:jc w:val="both"/>
    </w:pPr>
    <w:rPr>
      <w:vertAlign w:val="superscript"/>
    </w:rPr>
  </w:style>
  <w:style w:type="paragraph" w:customStyle="1" w:styleId="wa">
    <w:name w:val="wa"/>
    <w:basedOn w:val="a"/>
    <w:pPr>
      <w:spacing w:before="90" w:after="90"/>
      <w:ind w:firstLine="675"/>
      <w:jc w:val="both"/>
    </w:pPr>
    <w:rPr>
      <w:b/>
      <w:bCs/>
      <w:vertAlign w:val="subscript"/>
    </w:rPr>
  </w:style>
  <w:style w:type="paragraph" w:customStyle="1" w:styleId="wb">
    <w:name w:val="wb"/>
    <w:basedOn w:val="a"/>
    <w:pPr>
      <w:spacing w:before="90" w:after="90"/>
      <w:ind w:firstLine="675"/>
      <w:jc w:val="both"/>
    </w:pPr>
    <w:rPr>
      <w:b/>
      <w:bCs/>
      <w:vertAlign w:val="superscript"/>
    </w:rPr>
  </w:style>
  <w:style w:type="paragraph" w:customStyle="1" w:styleId="wc">
    <w:name w:val="wc"/>
    <w:basedOn w:val="a"/>
    <w:pPr>
      <w:spacing w:before="90" w:after="90"/>
      <w:ind w:firstLine="675"/>
      <w:jc w:val="both"/>
      <w:textAlignment w:val="baseline"/>
    </w:pPr>
    <w:rPr>
      <w:strike/>
    </w:rPr>
  </w:style>
  <w:style w:type="paragraph" w:customStyle="1" w:styleId="wd">
    <w:name w:val="wd"/>
    <w:basedOn w:val="a"/>
    <w:pPr>
      <w:spacing w:before="90" w:after="90"/>
      <w:ind w:firstLine="675"/>
      <w:jc w:val="both"/>
      <w:textAlignment w:val="baseline"/>
    </w:pPr>
    <w:rPr>
      <w:i/>
      <w:iCs/>
      <w:strike/>
    </w:rPr>
  </w:style>
  <w:style w:type="paragraph" w:customStyle="1" w:styleId="we">
    <w:name w:val="we"/>
    <w:basedOn w:val="a"/>
    <w:pPr>
      <w:spacing w:before="90" w:after="90"/>
      <w:ind w:firstLine="675"/>
      <w:jc w:val="both"/>
      <w:textAlignment w:val="baseline"/>
    </w:pPr>
    <w:rPr>
      <w:b/>
      <w:bCs/>
      <w:strike/>
    </w:rPr>
  </w:style>
  <w:style w:type="paragraph" w:customStyle="1" w:styleId="wf">
    <w:name w:val="wf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strike/>
    </w:rPr>
  </w:style>
  <w:style w:type="paragraph" w:customStyle="1" w:styleId="g02l">
    <w:name w:val="g02l"/>
    <w:basedOn w:val="a"/>
    <w:pPr>
      <w:spacing w:before="90" w:after="90"/>
      <w:ind w:firstLine="675"/>
      <w:jc w:val="both"/>
    </w:pPr>
  </w:style>
  <w:style w:type="paragraph" w:customStyle="1" w:styleId="g02c">
    <w:name w:val="g02c"/>
    <w:basedOn w:val="a"/>
    <w:pPr>
      <w:spacing w:before="90" w:after="90"/>
      <w:ind w:firstLine="675"/>
      <w:jc w:val="both"/>
    </w:pPr>
  </w:style>
  <w:style w:type="paragraph" w:customStyle="1" w:styleId="g02r">
    <w:name w:val="g02r"/>
    <w:basedOn w:val="a"/>
    <w:pPr>
      <w:spacing w:before="90" w:after="90"/>
      <w:ind w:firstLine="675"/>
      <w:jc w:val="both"/>
    </w:pPr>
  </w:style>
  <w:style w:type="paragraph" w:customStyle="1" w:styleId="g02j">
    <w:name w:val="g02j"/>
    <w:basedOn w:val="a"/>
    <w:pPr>
      <w:spacing w:before="90" w:after="90"/>
      <w:ind w:firstLine="675"/>
      <w:jc w:val="both"/>
    </w:pPr>
  </w:style>
  <w:style w:type="paragraph" w:customStyle="1" w:styleId="g12l">
    <w:name w:val="g12l"/>
    <w:basedOn w:val="a"/>
    <w:pPr>
      <w:spacing w:before="90" w:after="90"/>
      <w:ind w:firstLine="675"/>
      <w:jc w:val="both"/>
    </w:pPr>
  </w:style>
  <w:style w:type="paragraph" w:customStyle="1" w:styleId="g12c">
    <w:name w:val="g12c"/>
    <w:basedOn w:val="a"/>
    <w:pPr>
      <w:spacing w:before="90" w:after="90"/>
      <w:ind w:firstLine="675"/>
      <w:jc w:val="both"/>
    </w:pPr>
  </w:style>
  <w:style w:type="paragraph" w:customStyle="1" w:styleId="g12r">
    <w:name w:val="g12r"/>
    <w:basedOn w:val="a"/>
    <w:pPr>
      <w:spacing w:before="90" w:after="90"/>
      <w:ind w:firstLine="675"/>
      <w:jc w:val="both"/>
    </w:pPr>
  </w:style>
  <w:style w:type="paragraph" w:customStyle="1" w:styleId="g12j">
    <w:name w:val="g12j"/>
    <w:basedOn w:val="a"/>
    <w:pPr>
      <w:spacing w:before="90" w:after="90"/>
      <w:ind w:firstLine="675"/>
      <w:jc w:val="both"/>
    </w:pPr>
  </w:style>
  <w:style w:type="paragraph" w:customStyle="1" w:styleId="g22l">
    <w:name w:val="g22l"/>
    <w:basedOn w:val="a"/>
    <w:pPr>
      <w:spacing w:before="90" w:after="90"/>
      <w:ind w:firstLine="675"/>
      <w:jc w:val="both"/>
    </w:pPr>
  </w:style>
  <w:style w:type="paragraph" w:customStyle="1" w:styleId="g22c">
    <w:name w:val="g22c"/>
    <w:basedOn w:val="a"/>
    <w:pPr>
      <w:spacing w:before="90" w:after="90"/>
      <w:ind w:firstLine="675"/>
      <w:jc w:val="both"/>
    </w:pPr>
  </w:style>
  <w:style w:type="paragraph" w:customStyle="1" w:styleId="g22r">
    <w:name w:val="g22r"/>
    <w:basedOn w:val="a"/>
    <w:pPr>
      <w:spacing w:before="90" w:after="90"/>
      <w:ind w:firstLine="675"/>
      <w:jc w:val="both"/>
    </w:pPr>
  </w:style>
  <w:style w:type="paragraph" w:customStyle="1" w:styleId="g22j">
    <w:name w:val="g22j"/>
    <w:basedOn w:val="a"/>
    <w:pPr>
      <w:spacing w:before="90" w:after="90"/>
      <w:ind w:firstLine="675"/>
      <w:jc w:val="both"/>
    </w:pPr>
  </w:style>
  <w:style w:type="paragraph" w:customStyle="1" w:styleId="g32l">
    <w:name w:val="g32l"/>
    <w:basedOn w:val="a"/>
    <w:pPr>
      <w:spacing w:before="90" w:after="90"/>
      <w:ind w:firstLine="675"/>
      <w:jc w:val="both"/>
    </w:pPr>
  </w:style>
  <w:style w:type="paragraph" w:customStyle="1" w:styleId="g32c">
    <w:name w:val="g32c"/>
    <w:basedOn w:val="a"/>
    <w:pPr>
      <w:spacing w:before="90" w:after="90"/>
      <w:ind w:firstLine="675"/>
      <w:jc w:val="both"/>
    </w:pPr>
  </w:style>
  <w:style w:type="paragraph" w:customStyle="1" w:styleId="g32r">
    <w:name w:val="g32r"/>
    <w:basedOn w:val="a"/>
    <w:pPr>
      <w:spacing w:before="90" w:after="90"/>
      <w:ind w:firstLine="675"/>
      <w:jc w:val="both"/>
    </w:pPr>
  </w:style>
  <w:style w:type="paragraph" w:customStyle="1" w:styleId="g32j">
    <w:name w:val="g32j"/>
    <w:basedOn w:val="a"/>
    <w:pPr>
      <w:spacing w:before="90" w:after="90"/>
      <w:ind w:firstLine="675"/>
      <w:jc w:val="both"/>
    </w:pPr>
  </w:style>
  <w:style w:type="character" w:customStyle="1" w:styleId="mark">
    <w:name w:val="mark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markx">
    <w:name w:val="markx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paragraph" w:customStyle="1" w:styleId="l1">
    <w:name w:val="l1"/>
    <w:basedOn w:val="a"/>
  </w:style>
  <w:style w:type="paragraph" w:customStyle="1" w:styleId="c1">
    <w:name w:val="c1"/>
    <w:basedOn w:val="a"/>
    <w:pPr>
      <w:jc w:val="center"/>
    </w:pPr>
  </w:style>
  <w:style w:type="paragraph" w:customStyle="1" w:styleId="r1">
    <w:name w:val="r1"/>
    <w:basedOn w:val="a"/>
    <w:pPr>
      <w:jc w:val="right"/>
    </w:pPr>
  </w:style>
  <w:style w:type="paragraph" w:customStyle="1" w:styleId="j1">
    <w:name w:val="j1"/>
    <w:basedOn w:val="a"/>
    <w:pPr>
      <w:jc w:val="both"/>
    </w:pPr>
  </w:style>
  <w:style w:type="paragraph" w:customStyle="1" w:styleId="p1">
    <w:name w:val="p1"/>
    <w:basedOn w:val="a"/>
    <w:pPr>
      <w:ind w:firstLine="570"/>
      <w:jc w:val="both"/>
    </w:pPr>
  </w:style>
  <w:style w:type="paragraph" w:customStyle="1" w:styleId="n1">
    <w:name w:val="n1"/>
    <w:basedOn w:val="a"/>
    <w:pPr>
      <w:ind w:firstLine="570"/>
      <w:jc w:val="both"/>
    </w:pPr>
  </w:style>
  <w:style w:type="paragraph" w:customStyle="1" w:styleId="i1">
    <w:name w:val="i1"/>
    <w:basedOn w:val="a"/>
    <w:pPr>
      <w:ind w:left="570"/>
    </w:pPr>
  </w:style>
  <w:style w:type="paragraph" w:customStyle="1" w:styleId="k1">
    <w:name w:val="k1"/>
    <w:basedOn w:val="a"/>
    <w:pPr>
      <w:ind w:left="570"/>
      <w:jc w:val="both"/>
    </w:pPr>
  </w:style>
  <w:style w:type="paragraph" w:customStyle="1" w:styleId="h1">
    <w:name w:val="h1"/>
    <w:basedOn w:val="a"/>
    <w:pPr>
      <w:ind w:left="1785" w:right="570" w:hanging="1215"/>
    </w:pPr>
    <w:rPr>
      <w:b/>
      <w:bCs/>
    </w:rPr>
  </w:style>
  <w:style w:type="paragraph" w:customStyle="1" w:styleId="t1">
    <w:name w:val="t1"/>
    <w:basedOn w:val="a"/>
    <w:pPr>
      <w:ind w:left="570" w:right="570"/>
      <w:jc w:val="center"/>
    </w:pPr>
    <w:rPr>
      <w:b/>
      <w:bCs/>
    </w:rPr>
  </w:style>
  <w:style w:type="paragraph" w:customStyle="1" w:styleId="m1">
    <w:name w:val="m1"/>
    <w:basedOn w:val="a"/>
    <w:rPr>
      <w:rFonts w:ascii="Courier New" w:hAnsi="Courier New" w:cs="Courier New"/>
      <w:sz w:val="21"/>
      <w:szCs w:val="21"/>
    </w:rPr>
  </w:style>
  <w:style w:type="paragraph" w:customStyle="1" w:styleId="l2">
    <w:name w:val="l2"/>
    <w:basedOn w:val="a"/>
  </w:style>
  <w:style w:type="paragraph" w:customStyle="1" w:styleId="c2">
    <w:name w:val="c2"/>
    <w:basedOn w:val="a"/>
    <w:pPr>
      <w:jc w:val="center"/>
    </w:pPr>
  </w:style>
  <w:style w:type="paragraph" w:customStyle="1" w:styleId="r2">
    <w:name w:val="r2"/>
    <w:basedOn w:val="a"/>
    <w:pPr>
      <w:jc w:val="right"/>
    </w:pPr>
  </w:style>
  <w:style w:type="paragraph" w:customStyle="1" w:styleId="j2">
    <w:name w:val="j2"/>
    <w:basedOn w:val="a"/>
    <w:pPr>
      <w:jc w:val="both"/>
    </w:pPr>
  </w:style>
  <w:style w:type="paragraph" w:customStyle="1" w:styleId="p2">
    <w:name w:val="p2"/>
    <w:basedOn w:val="a"/>
    <w:pPr>
      <w:ind w:firstLine="570"/>
      <w:jc w:val="both"/>
    </w:pPr>
  </w:style>
  <w:style w:type="paragraph" w:customStyle="1" w:styleId="n2">
    <w:name w:val="n2"/>
    <w:basedOn w:val="a"/>
    <w:pPr>
      <w:ind w:firstLine="570"/>
      <w:jc w:val="both"/>
    </w:pPr>
  </w:style>
  <w:style w:type="paragraph" w:customStyle="1" w:styleId="i2">
    <w:name w:val="i2"/>
    <w:basedOn w:val="a"/>
    <w:pPr>
      <w:ind w:left="570"/>
    </w:pPr>
  </w:style>
  <w:style w:type="paragraph" w:customStyle="1" w:styleId="k2">
    <w:name w:val="k2"/>
    <w:basedOn w:val="a"/>
    <w:pPr>
      <w:ind w:left="570"/>
      <w:jc w:val="both"/>
    </w:pPr>
  </w:style>
  <w:style w:type="paragraph" w:customStyle="1" w:styleId="h2">
    <w:name w:val="h2"/>
    <w:basedOn w:val="a"/>
    <w:pPr>
      <w:ind w:left="1785" w:right="570" w:hanging="1215"/>
    </w:pPr>
    <w:rPr>
      <w:b/>
      <w:bCs/>
    </w:rPr>
  </w:style>
  <w:style w:type="paragraph" w:customStyle="1" w:styleId="t2">
    <w:name w:val="t2"/>
    <w:basedOn w:val="a"/>
    <w:pPr>
      <w:ind w:left="570" w:right="570"/>
      <w:jc w:val="center"/>
    </w:pPr>
    <w:rPr>
      <w:b/>
      <w:bCs/>
    </w:rPr>
  </w:style>
  <w:style w:type="paragraph" w:customStyle="1" w:styleId="m2">
    <w:name w:val="m2"/>
    <w:basedOn w:val="a"/>
    <w:rPr>
      <w:rFonts w:ascii="Courier New" w:hAnsi="Courier New" w:cs="Courier New"/>
      <w:sz w:val="21"/>
      <w:szCs w:val="21"/>
    </w:rPr>
  </w:style>
  <w:style w:type="character" w:customStyle="1" w:styleId="cmd">
    <w:name w:val="cmd"/>
    <w:basedOn w:val="a0"/>
  </w:style>
  <w:style w:type="character" w:customStyle="1" w:styleId="w91">
    <w:name w:val="w91"/>
    <w:basedOn w:val="a0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  <w:style w:type="character" w:customStyle="1" w:styleId="edx">
    <w:name w:val="edx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898757">
      <w:bodyDiv w:val="1"/>
      <w:marLeft w:val="1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1937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Complex</vt:lpstr>
    </vt:vector>
  </TitlesOfParts>
  <Company/>
  <LinksUpToDate>false</LinksUpToDate>
  <CharactersWithSpaces>12954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subject/>
  <dc:creator>Пользователь-8</dc:creator>
  <cp:keywords/>
  <dc:description/>
  <cp:lastModifiedBy>Пользователь-8</cp:lastModifiedBy>
  <cp:revision>3</cp:revision>
  <dcterms:created xsi:type="dcterms:W3CDTF">2023-03-15T07:56:00Z</dcterms:created>
  <dcterms:modified xsi:type="dcterms:W3CDTF">2023-03-15T08:05:00Z</dcterms:modified>
</cp:coreProperties>
</file>